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s>
        <w:spacing w:line="480" w:lineRule="exact"/>
        <w:jc w:val="center"/>
        <w:rPr>
          <w:b/>
          <w:bCs/>
          <w:sz w:val="32"/>
          <w:szCs w:val="32"/>
        </w:rPr>
      </w:pPr>
      <w:r>
        <w:rPr>
          <w:b/>
          <w:bCs/>
          <w:color w:val="000000"/>
          <w:sz w:val="32"/>
          <w:szCs w:val="32"/>
        </w:rPr>
        <w:t>Seminar for State-Owned Enterprise Executives of Developing Countries</w:t>
      </w:r>
    </w:p>
    <w:p>
      <w:pPr>
        <w:spacing w:line="480" w:lineRule="exact"/>
        <w:jc w:val="center"/>
        <w:rPr>
          <w:b/>
          <w:bCs/>
          <w:color w:val="000000"/>
          <w:sz w:val="32"/>
          <w:szCs w:val="32"/>
        </w:rPr>
      </w:pPr>
      <w:r>
        <w:rPr>
          <w:b/>
          <w:bCs/>
          <w:sz w:val="32"/>
          <w:szCs w:val="32"/>
        </w:rPr>
        <w:t>Project Profile</w:t>
      </w:r>
    </w:p>
    <w:p>
      <w:pPr>
        <w:spacing w:line="480" w:lineRule="exact"/>
        <w:jc w:val="center"/>
        <w:rPr>
          <w:b/>
          <w:bCs/>
          <w:color w:val="000000"/>
          <w:sz w:val="32"/>
          <w:szCs w:val="32"/>
        </w:rPr>
      </w:pPr>
    </w:p>
    <w:tbl>
      <w:tblPr>
        <w:tblStyle w:val="3"/>
        <w:tblW w:w="975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35"/>
        <w:gridCol w:w="2163"/>
        <w:gridCol w:w="577"/>
        <w:gridCol w:w="434"/>
        <w:gridCol w:w="1888"/>
        <w:gridCol w:w="418"/>
        <w:gridCol w:w="274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1535" w:type="dxa"/>
            <w:vAlign w:val="center"/>
          </w:tcPr>
          <w:p>
            <w:pPr>
              <w:jc w:val="center"/>
              <w:rPr>
                <w:bCs/>
                <w:color w:val="000000"/>
                <w:szCs w:val="21"/>
              </w:rPr>
            </w:pPr>
            <w:r>
              <w:rPr>
                <w:bCs/>
                <w:color w:val="000000"/>
                <w:szCs w:val="21"/>
              </w:rPr>
              <w:t>Name</w:t>
            </w:r>
          </w:p>
        </w:tc>
        <w:tc>
          <w:tcPr>
            <w:tcW w:w="8221" w:type="dxa"/>
            <w:gridSpan w:val="6"/>
            <w:vAlign w:val="center"/>
          </w:tcPr>
          <w:p>
            <w:pPr>
              <w:jc w:val="center"/>
              <w:rPr>
                <w:bCs/>
                <w:color w:val="000000"/>
                <w:szCs w:val="21"/>
              </w:rPr>
            </w:pPr>
            <w:r>
              <w:rPr>
                <w:bCs/>
                <w:color w:val="000000"/>
                <w:szCs w:val="21"/>
              </w:rPr>
              <w:t>Seminar for State-Owned Enterprise Executives of Developing Countries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8" w:hRule="atLeast"/>
          <w:jc w:val="center"/>
        </w:trPr>
        <w:tc>
          <w:tcPr>
            <w:tcW w:w="1535" w:type="dxa"/>
            <w:vAlign w:val="center"/>
          </w:tcPr>
          <w:p>
            <w:pPr>
              <w:jc w:val="center"/>
              <w:rPr>
                <w:bCs/>
                <w:color w:val="000000"/>
                <w:szCs w:val="21"/>
              </w:rPr>
            </w:pPr>
            <w:r>
              <w:rPr>
                <w:bCs/>
                <w:color w:val="000000"/>
                <w:szCs w:val="21"/>
              </w:rPr>
              <w:t>Organizer</w:t>
            </w:r>
          </w:p>
        </w:tc>
        <w:tc>
          <w:tcPr>
            <w:tcW w:w="8221" w:type="dxa"/>
            <w:gridSpan w:val="6"/>
            <w:vAlign w:val="center"/>
          </w:tcPr>
          <w:p>
            <w:pPr>
              <w:jc w:val="center"/>
              <w:rPr>
                <w:bCs/>
                <w:color w:val="000000"/>
                <w:szCs w:val="21"/>
              </w:rPr>
            </w:pPr>
            <w:r>
              <w:rPr>
                <w:bCs/>
                <w:color w:val="000000"/>
                <w:szCs w:val="21"/>
              </w:rPr>
              <w:t>Shanghai Business School</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8" w:hRule="atLeast"/>
          <w:jc w:val="center"/>
        </w:trPr>
        <w:tc>
          <w:tcPr>
            <w:tcW w:w="1535" w:type="dxa"/>
            <w:vAlign w:val="center"/>
          </w:tcPr>
          <w:p>
            <w:pPr>
              <w:jc w:val="center"/>
              <w:rPr>
                <w:bCs/>
                <w:color w:val="000000"/>
                <w:szCs w:val="21"/>
              </w:rPr>
            </w:pPr>
            <w:r>
              <w:rPr>
                <w:bCs/>
                <w:color w:val="000000"/>
                <w:szCs w:val="21"/>
              </w:rPr>
              <w:t>Date</w:t>
            </w:r>
          </w:p>
        </w:tc>
        <w:tc>
          <w:tcPr>
            <w:tcW w:w="3174" w:type="dxa"/>
            <w:gridSpan w:val="3"/>
            <w:vAlign w:val="center"/>
          </w:tcPr>
          <w:p>
            <w:pPr>
              <w:autoSpaceDE w:val="0"/>
              <w:autoSpaceDN w:val="0"/>
              <w:adjustRightInd w:val="0"/>
              <w:spacing w:before="45" w:line="245" w:lineRule="exact"/>
              <w:ind w:left="15"/>
              <w:jc w:val="center"/>
              <w:rPr>
                <w:bCs/>
                <w:color w:val="000000"/>
                <w:szCs w:val="21"/>
              </w:rPr>
            </w:pPr>
            <w:r>
              <w:rPr>
                <w:kern w:val="0"/>
                <w:szCs w:val="21"/>
              </w:rPr>
              <w:t>July 8-July 21, 2021</w:t>
            </w:r>
          </w:p>
        </w:tc>
        <w:tc>
          <w:tcPr>
            <w:tcW w:w="1888" w:type="dxa"/>
            <w:vAlign w:val="center"/>
          </w:tcPr>
          <w:p>
            <w:pPr>
              <w:jc w:val="center"/>
              <w:rPr>
                <w:bCs/>
                <w:color w:val="000000"/>
                <w:szCs w:val="21"/>
              </w:rPr>
            </w:pPr>
            <w:r>
              <w:rPr>
                <w:bCs/>
                <w:color w:val="000000"/>
                <w:szCs w:val="21"/>
              </w:rPr>
              <w:t>Language</w:t>
            </w:r>
          </w:p>
        </w:tc>
        <w:tc>
          <w:tcPr>
            <w:tcW w:w="3159" w:type="dxa"/>
            <w:gridSpan w:val="2"/>
            <w:vAlign w:val="center"/>
          </w:tcPr>
          <w:p>
            <w:pPr>
              <w:jc w:val="center"/>
              <w:rPr>
                <w:bCs/>
                <w:color w:val="000000"/>
                <w:szCs w:val="21"/>
              </w:rPr>
            </w:pPr>
            <w:r>
              <w:rPr>
                <w:bCs/>
                <w:color w:val="000000"/>
                <w:szCs w:val="21"/>
              </w:rPr>
              <w:t>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535" w:type="dxa"/>
            <w:vAlign w:val="center"/>
          </w:tcPr>
          <w:p>
            <w:pPr>
              <w:pStyle w:val="2"/>
              <w:jc w:val="center"/>
              <w:rPr>
                <w:bCs/>
                <w:color w:val="000000"/>
                <w:szCs w:val="21"/>
              </w:rPr>
            </w:pPr>
            <w:r>
              <w:rPr>
                <w:bCs/>
                <w:color w:val="000000"/>
                <w:szCs w:val="21"/>
              </w:rPr>
              <w:t>Countries invited</w:t>
            </w:r>
          </w:p>
        </w:tc>
        <w:tc>
          <w:tcPr>
            <w:tcW w:w="3174" w:type="dxa"/>
            <w:gridSpan w:val="3"/>
            <w:vAlign w:val="center"/>
          </w:tcPr>
          <w:p>
            <w:pPr>
              <w:jc w:val="center"/>
              <w:rPr>
                <w:color w:val="000000"/>
                <w:szCs w:val="21"/>
              </w:rPr>
            </w:pPr>
            <w:r>
              <w:rPr>
                <w:bCs/>
                <w:color w:val="000000"/>
                <w:szCs w:val="21"/>
              </w:rPr>
              <w:t>Developing countries</w:t>
            </w:r>
          </w:p>
        </w:tc>
        <w:tc>
          <w:tcPr>
            <w:tcW w:w="1888" w:type="dxa"/>
            <w:vAlign w:val="center"/>
          </w:tcPr>
          <w:p>
            <w:pPr>
              <w:jc w:val="center"/>
              <w:rPr>
                <w:color w:val="000000"/>
                <w:szCs w:val="21"/>
              </w:rPr>
            </w:pPr>
            <w:r>
              <w:rPr>
                <w:szCs w:val="21"/>
              </w:rPr>
              <w:t>Number of Participants</w:t>
            </w:r>
          </w:p>
        </w:tc>
        <w:tc>
          <w:tcPr>
            <w:tcW w:w="3159" w:type="dxa"/>
            <w:gridSpan w:val="2"/>
            <w:vAlign w:val="center"/>
          </w:tcPr>
          <w:p>
            <w:pPr>
              <w:jc w:val="center"/>
              <w:rPr>
                <w:color w:val="000000"/>
                <w:szCs w:val="21"/>
              </w:rPr>
            </w:pPr>
            <w:r>
              <w:rPr>
                <w:bCs/>
                <w:color w:val="000000"/>
                <w:szCs w:val="21"/>
              </w:rPr>
              <w:t>25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1535" w:type="dxa"/>
            <w:vAlign w:val="center"/>
          </w:tcPr>
          <w:p>
            <w:pPr>
              <w:jc w:val="center"/>
              <w:rPr>
                <w:bCs/>
                <w:color w:val="000000"/>
                <w:szCs w:val="21"/>
              </w:rPr>
            </w:pPr>
            <w:r>
              <w:rPr>
                <w:bCs/>
                <w:color w:val="000000"/>
                <w:szCs w:val="21"/>
              </w:rPr>
              <w:t>Objectives</w:t>
            </w:r>
          </w:p>
        </w:tc>
        <w:tc>
          <w:tcPr>
            <w:tcW w:w="8221" w:type="dxa"/>
            <w:gridSpan w:val="6"/>
            <w:vAlign w:val="center"/>
          </w:tcPr>
          <w:p>
            <w:pPr>
              <w:pStyle w:val="2"/>
              <w:jc w:val="both"/>
              <w:rPr>
                <w:bCs/>
                <w:color w:val="000000"/>
                <w:szCs w:val="21"/>
              </w:rPr>
            </w:pPr>
            <w:r>
              <w:rPr>
                <w:bCs/>
                <w:color w:val="000000"/>
                <w:szCs w:val="21"/>
              </w:rPr>
              <w:t>To enable</w:t>
            </w:r>
            <w:r>
              <w:rPr>
                <w:rFonts w:hint="eastAsia"/>
                <w:bCs/>
                <w:color w:val="000000"/>
                <w:szCs w:val="21"/>
              </w:rPr>
              <w:t xml:space="preserve"> </w:t>
            </w:r>
            <w:r>
              <w:rPr>
                <w:rFonts w:hint="eastAsia"/>
                <w:bCs/>
                <w:szCs w:val="21"/>
              </w:rPr>
              <w:t>participants</w:t>
            </w:r>
            <w:r>
              <w:rPr>
                <w:bCs/>
                <w:color w:val="000000"/>
                <w:szCs w:val="21"/>
              </w:rPr>
              <w:t xml:space="preserve"> to understand China’s current concepts, practices and relevant policies in the management and reform of state-owned enterprises</w:t>
            </w:r>
            <w:r>
              <w:rPr>
                <w:rFonts w:hint="eastAsia"/>
                <w:bCs/>
                <w:color w:val="000000"/>
                <w:szCs w:val="21"/>
              </w:rPr>
              <w:t xml:space="preserve">. </w:t>
            </w:r>
            <w:r>
              <w:rPr>
                <w:bCs/>
                <w:color w:val="000000"/>
                <w:szCs w:val="21"/>
              </w:rPr>
              <w:t xml:space="preserve"> </w:t>
            </w:r>
            <w:r>
              <w:rPr>
                <w:rFonts w:hint="eastAsia"/>
                <w:bCs/>
                <w:color w:val="000000"/>
                <w:szCs w:val="21"/>
              </w:rPr>
              <w:t>P</w:t>
            </w:r>
            <w:r>
              <w:rPr>
                <w:rFonts w:hint="eastAsia"/>
                <w:bCs/>
                <w:szCs w:val="21"/>
              </w:rPr>
              <w:t>articipants</w:t>
            </w:r>
            <w:r>
              <w:rPr>
                <w:bCs/>
                <w:color w:val="000000"/>
                <w:szCs w:val="21"/>
              </w:rPr>
              <w:t xml:space="preserve"> can put forward relevant suggestions that are conducive to the development and cooperation of state-owned enterprises according to what they have learned and the actual situation in their own countries.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00" w:hRule="atLeast"/>
          <w:jc w:val="center"/>
        </w:trPr>
        <w:tc>
          <w:tcPr>
            <w:tcW w:w="1535" w:type="dxa"/>
            <w:vMerge w:val="restart"/>
            <w:vAlign w:val="center"/>
          </w:tcPr>
          <w:p>
            <w:pPr>
              <w:jc w:val="center"/>
              <w:rPr>
                <w:bCs/>
                <w:color w:val="000000"/>
                <w:szCs w:val="21"/>
              </w:rPr>
            </w:pPr>
            <w:r>
              <w:rPr>
                <w:bCs/>
                <w:color w:val="000000"/>
                <w:szCs w:val="21"/>
              </w:rPr>
              <w:t>Requirements</w:t>
            </w:r>
          </w:p>
        </w:tc>
        <w:tc>
          <w:tcPr>
            <w:tcW w:w="2163" w:type="dxa"/>
            <w:vAlign w:val="center"/>
          </w:tcPr>
          <w:p>
            <w:pPr>
              <w:pStyle w:val="2"/>
              <w:jc w:val="center"/>
              <w:rPr>
                <w:bCs/>
                <w:color w:val="000000"/>
                <w:szCs w:val="21"/>
              </w:rPr>
            </w:pPr>
            <w:r>
              <w:rPr>
                <w:bCs/>
                <w:color w:val="000000"/>
                <w:szCs w:val="21"/>
              </w:rPr>
              <w:t>Professional background</w:t>
            </w:r>
          </w:p>
        </w:tc>
        <w:tc>
          <w:tcPr>
            <w:tcW w:w="6058" w:type="dxa"/>
            <w:gridSpan w:val="5"/>
            <w:vAlign w:val="center"/>
          </w:tcPr>
          <w:p>
            <w:pPr>
              <w:rPr>
                <w:color w:val="000000"/>
                <w:szCs w:val="21"/>
              </w:rPr>
            </w:pPr>
            <w:r>
              <w:rPr>
                <w:rFonts w:hint="eastAsia"/>
                <w:color w:val="000000"/>
                <w:szCs w:val="21"/>
              </w:rPr>
              <w:t>--</w:t>
            </w:r>
            <w:r>
              <w:rPr>
                <w:color w:val="000000"/>
                <w:szCs w:val="21"/>
              </w:rPr>
              <w:t>Field or specialty: related fields of state-owned enterprise management</w:t>
            </w:r>
          </w:p>
          <w:p>
            <w:pPr>
              <w:rPr>
                <w:color w:val="000000"/>
                <w:szCs w:val="21"/>
              </w:rPr>
            </w:pPr>
            <w:r>
              <w:rPr>
                <w:rFonts w:hint="eastAsia"/>
                <w:color w:val="000000"/>
                <w:szCs w:val="21"/>
              </w:rPr>
              <w:t>--</w:t>
            </w:r>
            <w:r>
              <w:rPr>
                <w:color w:val="000000"/>
                <w:szCs w:val="21"/>
              </w:rPr>
              <w:t>Position: government officials and enterprise managers related to the management of state-owned enterprises in developing countries</w:t>
            </w:r>
          </w:p>
          <w:p>
            <w:pPr>
              <w:rPr>
                <w:color w:val="000000"/>
                <w:szCs w:val="21"/>
              </w:rPr>
            </w:pPr>
            <w:r>
              <w:rPr>
                <w:rFonts w:hint="eastAsia"/>
                <w:color w:val="000000"/>
                <w:szCs w:val="21"/>
              </w:rPr>
              <w:t>--</w:t>
            </w:r>
            <w:r>
              <w:rPr>
                <w:color w:val="000000"/>
                <w:szCs w:val="21"/>
              </w:rPr>
              <w:t>Level, educational background or other qualification</w:t>
            </w:r>
            <w:r>
              <w:rPr>
                <w:rFonts w:hint="eastAsia"/>
                <w:color w:val="000000"/>
                <w:szCs w:val="21"/>
              </w:rPr>
              <w:t>s</w:t>
            </w:r>
            <w:r>
              <w:rPr>
                <w:color w:val="000000"/>
                <w:szCs w:val="21"/>
              </w:rPr>
              <w:t>: departmental and divisional level</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34" w:hRule="atLeast"/>
          <w:jc w:val="center"/>
        </w:trPr>
        <w:tc>
          <w:tcPr>
            <w:tcW w:w="1535" w:type="dxa"/>
            <w:vMerge w:val="continue"/>
            <w:vAlign w:val="center"/>
          </w:tcPr>
          <w:p>
            <w:pPr>
              <w:jc w:val="center"/>
              <w:rPr>
                <w:bCs/>
                <w:color w:val="000000"/>
                <w:szCs w:val="21"/>
              </w:rPr>
            </w:pPr>
          </w:p>
        </w:tc>
        <w:tc>
          <w:tcPr>
            <w:tcW w:w="2163" w:type="dxa"/>
            <w:vAlign w:val="center"/>
          </w:tcPr>
          <w:p>
            <w:pPr>
              <w:pStyle w:val="2"/>
              <w:jc w:val="center"/>
              <w:rPr>
                <w:bCs/>
                <w:color w:val="000000"/>
                <w:szCs w:val="21"/>
              </w:rPr>
            </w:pPr>
            <w:r>
              <w:rPr>
                <w:bCs/>
                <w:color w:val="000000"/>
                <w:szCs w:val="21"/>
              </w:rPr>
              <w:t>Age</w:t>
            </w:r>
          </w:p>
        </w:tc>
        <w:tc>
          <w:tcPr>
            <w:tcW w:w="6058" w:type="dxa"/>
            <w:gridSpan w:val="5"/>
            <w:vAlign w:val="center"/>
          </w:tcPr>
          <w:p>
            <w:pPr>
              <w:pStyle w:val="2"/>
            </w:pPr>
            <w:r>
              <w:rPr>
                <w:color w:val="000000"/>
                <w:szCs w:val="21"/>
              </w:rPr>
              <w:t>Under the legal retirement age of the recipient country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99" w:hRule="atLeast"/>
          <w:jc w:val="center"/>
        </w:trPr>
        <w:tc>
          <w:tcPr>
            <w:tcW w:w="1535" w:type="dxa"/>
            <w:vMerge w:val="continue"/>
            <w:vAlign w:val="center"/>
          </w:tcPr>
          <w:p>
            <w:pPr>
              <w:jc w:val="center"/>
              <w:rPr>
                <w:bCs/>
                <w:color w:val="000000"/>
                <w:szCs w:val="21"/>
              </w:rPr>
            </w:pPr>
          </w:p>
        </w:tc>
        <w:tc>
          <w:tcPr>
            <w:tcW w:w="2163" w:type="dxa"/>
            <w:vAlign w:val="center"/>
          </w:tcPr>
          <w:p>
            <w:pPr>
              <w:jc w:val="center"/>
              <w:rPr>
                <w:bCs/>
                <w:color w:val="000000"/>
                <w:szCs w:val="21"/>
              </w:rPr>
            </w:pPr>
            <w:r>
              <w:rPr>
                <w:bCs/>
                <w:color w:val="000000"/>
                <w:szCs w:val="21"/>
              </w:rPr>
              <w:t>Health status</w:t>
            </w:r>
          </w:p>
        </w:tc>
        <w:tc>
          <w:tcPr>
            <w:tcW w:w="6058" w:type="dxa"/>
            <w:gridSpan w:val="5"/>
            <w:vAlign w:val="center"/>
          </w:tcPr>
          <w:p>
            <w:pPr>
              <w:rPr>
                <w:color w:val="000000"/>
                <w:szCs w:val="21"/>
              </w:rPr>
            </w:pPr>
            <w:r>
              <w:rPr>
                <w:color w:val="000000"/>
                <w:szCs w:val="21"/>
              </w:rPr>
              <w:t>Able to participate in online training courses on time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1535" w:type="dxa"/>
            <w:vMerge w:val="continue"/>
            <w:vAlign w:val="center"/>
          </w:tcPr>
          <w:p>
            <w:pPr>
              <w:jc w:val="center"/>
              <w:rPr>
                <w:bCs/>
                <w:color w:val="000000"/>
                <w:szCs w:val="21"/>
              </w:rPr>
            </w:pPr>
          </w:p>
        </w:tc>
        <w:tc>
          <w:tcPr>
            <w:tcW w:w="2163" w:type="dxa"/>
            <w:vAlign w:val="center"/>
          </w:tcPr>
          <w:p>
            <w:pPr>
              <w:jc w:val="center"/>
              <w:rPr>
                <w:bCs/>
                <w:color w:val="000000"/>
                <w:szCs w:val="21"/>
              </w:rPr>
            </w:pPr>
            <w:r>
              <w:rPr>
                <w:bCs/>
                <w:color w:val="000000"/>
                <w:szCs w:val="21"/>
              </w:rPr>
              <w:t>Language competence</w:t>
            </w:r>
          </w:p>
        </w:tc>
        <w:tc>
          <w:tcPr>
            <w:tcW w:w="6058" w:type="dxa"/>
            <w:gridSpan w:val="5"/>
            <w:vAlign w:val="center"/>
          </w:tcPr>
          <w:p>
            <w:pPr>
              <w:rPr>
                <w:color w:val="000000"/>
                <w:szCs w:val="21"/>
              </w:rPr>
            </w:pPr>
            <w:r>
              <w:rPr>
                <w:color w:val="000000"/>
                <w:szCs w:val="21"/>
              </w:rPr>
              <w:t>The ability to understand, speak, read and write English to the extent satisfying the needs for training and discussion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9" w:hRule="atLeast"/>
          <w:jc w:val="center"/>
        </w:trPr>
        <w:tc>
          <w:tcPr>
            <w:tcW w:w="1535" w:type="dxa"/>
            <w:vMerge w:val="continue"/>
            <w:vAlign w:val="center"/>
          </w:tcPr>
          <w:p>
            <w:pPr>
              <w:jc w:val="center"/>
              <w:rPr>
                <w:bCs/>
                <w:color w:val="000000"/>
                <w:szCs w:val="21"/>
              </w:rPr>
            </w:pPr>
          </w:p>
        </w:tc>
        <w:tc>
          <w:tcPr>
            <w:tcW w:w="2163" w:type="dxa"/>
            <w:vAlign w:val="center"/>
          </w:tcPr>
          <w:p>
            <w:pPr>
              <w:jc w:val="center"/>
              <w:rPr>
                <w:bCs/>
                <w:color w:val="000000"/>
                <w:szCs w:val="21"/>
              </w:rPr>
            </w:pPr>
            <w:r>
              <w:rPr>
                <w:bCs/>
                <w:color w:val="000000"/>
                <w:szCs w:val="21"/>
              </w:rPr>
              <w:t>Others</w:t>
            </w:r>
          </w:p>
        </w:tc>
        <w:tc>
          <w:tcPr>
            <w:tcW w:w="6058" w:type="dxa"/>
            <w:gridSpan w:val="5"/>
            <w:vAlign w:val="center"/>
          </w:tcPr>
          <w:p>
            <w:pPr>
              <w:rPr>
                <w:color w:val="000000"/>
                <w:szCs w:val="21"/>
              </w:rPr>
            </w:pPr>
            <w:r>
              <w:rPr>
                <w:color w:val="000000"/>
                <w:szCs w:val="21"/>
              </w:rPr>
              <w:t>Able to use ZOOM platform to complete the project agenda</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6" w:hRule="atLeast"/>
          <w:jc w:val="center"/>
        </w:trPr>
        <w:tc>
          <w:tcPr>
            <w:tcW w:w="1535" w:type="dxa"/>
            <w:vAlign w:val="center"/>
          </w:tcPr>
          <w:p>
            <w:pPr>
              <w:jc w:val="center"/>
              <w:rPr>
                <w:bCs/>
                <w:color w:val="000000"/>
                <w:szCs w:val="21"/>
              </w:rPr>
            </w:pPr>
            <w:r>
              <w:rPr>
                <w:bCs/>
                <w:color w:val="000000"/>
                <w:szCs w:val="21"/>
              </w:rPr>
              <w:t>Training content</w:t>
            </w:r>
          </w:p>
        </w:tc>
        <w:tc>
          <w:tcPr>
            <w:tcW w:w="8221" w:type="dxa"/>
            <w:gridSpan w:val="6"/>
            <w:vAlign w:val="center"/>
          </w:tcPr>
          <w:p>
            <w:pPr>
              <w:pStyle w:val="2"/>
              <w:numPr>
                <w:ilvl w:val="0"/>
                <w:numId w:val="1"/>
              </w:numPr>
              <w:rPr>
                <w:b/>
                <w:bCs w:val="0"/>
                <w:color w:val="000000"/>
                <w:szCs w:val="21"/>
              </w:rPr>
            </w:pPr>
            <w:r>
              <w:rPr>
                <w:b/>
                <w:bCs w:val="0"/>
                <w:color w:val="000000"/>
                <w:szCs w:val="21"/>
              </w:rPr>
              <w:t>Introduction to training courses and contents</w:t>
            </w:r>
          </w:p>
          <w:p>
            <w:pPr>
              <w:pStyle w:val="2"/>
              <w:numPr>
                <w:ilvl w:val="0"/>
                <w:numId w:val="2"/>
              </w:numPr>
              <w:jc w:val="both"/>
              <w:rPr>
                <w:szCs w:val="21"/>
              </w:rPr>
            </w:pPr>
            <w:r>
              <w:rPr>
                <w:szCs w:val="21"/>
              </w:rPr>
              <w:t>A general review of China: mainly includes the current status of China’s politics, economy, society and culture, as well as the achievements made since its foundation for 70 years and opening-up and reform for 40 years;</w:t>
            </w:r>
          </w:p>
          <w:p>
            <w:pPr>
              <w:pStyle w:val="2"/>
              <w:numPr>
                <w:ilvl w:val="0"/>
                <w:numId w:val="2"/>
              </w:numPr>
              <w:jc w:val="both"/>
              <w:rPr>
                <w:szCs w:val="21"/>
              </w:rPr>
            </w:pPr>
            <w:r>
              <w:rPr>
                <w:szCs w:val="21"/>
              </w:rPr>
              <w:t>Knowledge and experience sharing of COVID-19 prevention and control: mainly includes China’s prevention and control measures and status quo in coping with contagious disease, especially COVID-19, and experience sharing in this regard;</w:t>
            </w:r>
          </w:p>
          <w:p>
            <w:pPr>
              <w:pStyle w:val="2"/>
              <w:numPr>
                <w:ilvl w:val="0"/>
                <w:numId w:val="2"/>
              </w:numPr>
              <w:jc w:val="both"/>
              <w:rPr>
                <w:color w:val="000000"/>
                <w:szCs w:val="21"/>
              </w:rPr>
            </w:pPr>
            <w:r>
              <w:rPr>
                <w:color w:val="000000"/>
                <w:szCs w:val="21"/>
              </w:rPr>
              <w:t xml:space="preserve">Modern state-owned enterprise system with Chinese characteristics: mainly </w:t>
            </w:r>
            <w:r>
              <w:rPr>
                <w:szCs w:val="21"/>
              </w:rPr>
              <w:t>include</w:t>
            </w:r>
            <w:r>
              <w:rPr>
                <w:color w:val="000000"/>
                <w:szCs w:val="21"/>
              </w:rPr>
              <w:t>s the concept and connotation of modern enterprise system with Chinese characteristics, the formulation and management of articles of association of state-owned enterprises, modern corporate governance structure, etc.;</w:t>
            </w:r>
          </w:p>
          <w:p>
            <w:pPr>
              <w:pStyle w:val="2"/>
              <w:numPr>
                <w:ilvl w:val="0"/>
                <w:numId w:val="2"/>
              </w:numPr>
              <w:jc w:val="both"/>
              <w:rPr>
                <w:color w:val="000000"/>
                <w:szCs w:val="21"/>
              </w:rPr>
            </w:pPr>
            <w:r>
              <w:rPr>
                <w:color w:val="000000"/>
                <w:szCs w:val="21"/>
              </w:rPr>
              <w:t xml:space="preserve">Analysis of asset operation of state-owned enterprises in China: mainly </w:t>
            </w:r>
            <w:r>
              <w:rPr>
                <w:szCs w:val="21"/>
              </w:rPr>
              <w:t>include</w:t>
            </w:r>
            <w:r>
              <w:rPr>
                <w:color w:val="000000"/>
                <w:szCs w:val="21"/>
              </w:rPr>
              <w:t>s the background of state-owned enterprises’ reform, the current situation of state-owned enterprises’ fixed assets management, the composition of state-owned enterprises’ assets, the quality of enterprise assets, the financial situation and the analysis of operating results, etc.;</w:t>
            </w:r>
          </w:p>
          <w:p>
            <w:pPr>
              <w:pStyle w:val="2"/>
              <w:numPr>
                <w:ilvl w:val="0"/>
                <w:numId w:val="2"/>
              </w:numPr>
              <w:jc w:val="both"/>
              <w:rPr>
                <w:color w:val="000000"/>
                <w:szCs w:val="21"/>
              </w:rPr>
            </w:pPr>
            <w:r>
              <w:rPr>
                <w:color w:val="000000"/>
                <w:szCs w:val="21"/>
              </w:rPr>
              <w:t>Mergers and acquisitions of state-owned enterprises in China: mainly includes the in-depth analysis of the integration, strategic restructuring, mergers and acquisitions of state-owned enterprises, and the innovation of the mode of mergers and acquisitions of listed companies in China;</w:t>
            </w:r>
          </w:p>
          <w:p>
            <w:pPr>
              <w:pStyle w:val="2"/>
              <w:numPr>
                <w:ilvl w:val="0"/>
                <w:numId w:val="2"/>
              </w:numPr>
              <w:jc w:val="both"/>
              <w:rPr>
                <w:color w:val="000000"/>
                <w:szCs w:val="21"/>
              </w:rPr>
            </w:pPr>
            <w:r>
              <w:rPr>
                <w:color w:val="000000"/>
                <w:szCs w:val="21"/>
              </w:rPr>
              <w:t>Legal issues related to the restructuring and reorganization of state-owned enterprises in China: mainly includes the historical stage of the restructuring of state-owned enterprises, the basic procedural requirements of the restructuring of state-owned enterprises, and the important legal issues that may be involved in the restructuring and reorganization;</w:t>
            </w:r>
          </w:p>
          <w:p>
            <w:pPr>
              <w:pStyle w:val="2"/>
              <w:numPr>
                <w:ilvl w:val="0"/>
                <w:numId w:val="2"/>
              </w:numPr>
              <w:jc w:val="both"/>
              <w:rPr>
                <w:color w:val="000000"/>
                <w:szCs w:val="21"/>
              </w:rPr>
            </w:pPr>
            <w:r>
              <w:rPr>
                <w:color w:val="000000"/>
                <w:szCs w:val="21"/>
              </w:rPr>
              <w:t>Practice and exploration of the reform of state-owned enterprises in Shanghai: mainly includes the three stages of the reform of state-owned enterprises in Shanghai, the practice of perfecting the supervision system of state-owned assets, and the thinking of deepening the reform of state-owned assets in Shanghai.</w:t>
            </w:r>
          </w:p>
          <w:p>
            <w:pPr>
              <w:pStyle w:val="2"/>
              <w:numPr>
                <w:ilvl w:val="0"/>
                <w:numId w:val="1"/>
              </w:numPr>
              <w:rPr>
                <w:b/>
                <w:bCs/>
                <w:color w:val="000000"/>
                <w:szCs w:val="21"/>
              </w:rPr>
            </w:pPr>
            <w:r>
              <w:rPr>
                <w:rFonts w:hint="eastAsia"/>
                <w:b/>
                <w:bCs/>
                <w:color w:val="000000"/>
                <w:szCs w:val="21"/>
              </w:rPr>
              <w:t>Introduction of online site tour</w:t>
            </w:r>
          </w:p>
          <w:p>
            <w:pPr>
              <w:pStyle w:val="2"/>
              <w:numPr>
                <w:ilvl w:val="0"/>
                <w:numId w:val="3"/>
              </w:numPr>
              <w:rPr>
                <w:color w:val="000000"/>
                <w:szCs w:val="21"/>
              </w:rPr>
            </w:pPr>
            <w:r>
              <w:rPr>
                <w:rFonts w:hint="eastAsia"/>
                <w:szCs w:val="21"/>
              </w:rPr>
              <w:t>Participant would pay an online visit to</w:t>
            </w:r>
            <w:r>
              <w:rPr>
                <w:rFonts w:hint="eastAsia"/>
                <w:color w:val="000000"/>
                <w:szCs w:val="21"/>
              </w:rPr>
              <w:t xml:space="preserve"> </w:t>
            </w:r>
            <w:r>
              <w:rPr>
                <w:color w:val="000000"/>
                <w:szCs w:val="21"/>
              </w:rPr>
              <w:t>Arcplus Group PLC</w:t>
            </w:r>
            <w:r>
              <w:rPr>
                <w:rFonts w:hint="eastAsia"/>
                <w:szCs w:val="21"/>
              </w:rPr>
              <w:t>, conducting online study and communication on</w:t>
            </w:r>
            <w:r>
              <w:rPr>
                <w:color w:val="000000"/>
                <w:szCs w:val="21"/>
              </w:rPr>
              <w:t xml:space="preserve"> the reform and development of China’s infrastructure state-owned enterprises;</w:t>
            </w:r>
          </w:p>
          <w:p>
            <w:pPr>
              <w:pStyle w:val="2"/>
              <w:numPr>
                <w:ilvl w:val="0"/>
                <w:numId w:val="3"/>
              </w:numPr>
              <w:rPr>
                <w:color w:val="000000"/>
                <w:szCs w:val="21"/>
              </w:rPr>
            </w:pPr>
            <w:r>
              <w:rPr>
                <w:rFonts w:hint="eastAsia"/>
                <w:szCs w:val="21"/>
              </w:rPr>
              <w:t>Participant would pay an online visit to</w:t>
            </w:r>
            <w:r>
              <w:rPr>
                <w:rFonts w:hint="eastAsia"/>
                <w:color w:val="000000"/>
                <w:szCs w:val="21"/>
              </w:rPr>
              <w:t xml:space="preserve"> </w:t>
            </w:r>
            <w:r>
              <w:rPr>
                <w:color w:val="000000"/>
                <w:szCs w:val="21"/>
              </w:rPr>
              <w:t>China Railway Shanghai Design Institute Group Co., Ltd.,</w:t>
            </w:r>
            <w:r>
              <w:rPr>
                <w:rFonts w:hint="eastAsia"/>
                <w:szCs w:val="21"/>
              </w:rPr>
              <w:t>conducting online study and communication on</w:t>
            </w:r>
            <w:r>
              <w:rPr>
                <w:color w:val="000000"/>
                <w:szCs w:val="21"/>
              </w:rPr>
              <w:t xml:space="preserve"> the development history and current situation of state-owned enterprises in China’s transportation field.</w:t>
            </w:r>
          </w:p>
          <w:p>
            <w:pPr>
              <w:pStyle w:val="2"/>
              <w:numPr>
                <w:ilvl w:val="0"/>
                <w:numId w:val="1"/>
              </w:numPr>
              <w:rPr>
                <w:szCs w:val="21"/>
              </w:rPr>
            </w:pPr>
            <w:r>
              <w:rPr>
                <w:color w:val="000000"/>
                <w:szCs w:val="21"/>
              </w:rPr>
              <w:t>Introduction of</w:t>
            </w:r>
            <w:r>
              <w:rPr>
                <w:rFonts w:hint="eastAsia"/>
                <w:color w:val="000000"/>
                <w:szCs w:val="21"/>
              </w:rPr>
              <w:t xml:space="preserve"> virtual</w:t>
            </w:r>
            <w:r>
              <w:rPr>
                <w:szCs w:val="21"/>
              </w:rPr>
              <w:t xml:space="preserve"> culture experience</w:t>
            </w:r>
          </w:p>
          <w:p>
            <w:pPr>
              <w:pStyle w:val="2"/>
              <w:ind w:firstLine="420" w:firstLineChars="200"/>
              <w:rPr>
                <w:szCs w:val="21"/>
              </w:rPr>
            </w:pPr>
            <w:r>
              <w:rPr>
                <w:rFonts w:hint="eastAsia"/>
                <w:szCs w:val="21"/>
              </w:rPr>
              <w:t>Participant would</w:t>
            </w:r>
            <w:r>
              <w:rPr>
                <w:szCs w:val="21"/>
              </w:rPr>
              <w:t xml:space="preserve"> </w:t>
            </w:r>
            <w:r>
              <w:rPr>
                <w:rFonts w:hint="eastAsia"/>
                <w:szCs w:val="21"/>
              </w:rPr>
              <w:t xml:space="preserve">virtually experience </w:t>
            </w:r>
            <w:r>
              <w:rPr>
                <w:szCs w:val="21"/>
              </w:rPr>
              <w:t>Chinese tea art</w:t>
            </w:r>
            <w:r>
              <w:rPr>
                <w:rFonts w:hint="eastAsia"/>
                <w:szCs w:val="21"/>
              </w:rPr>
              <w:t xml:space="preserve"> by a fine performance, impressed </w:t>
            </w:r>
          </w:p>
          <w:p>
            <w:pPr>
              <w:pStyle w:val="2"/>
              <w:ind w:firstLine="420" w:firstLineChars="200"/>
              <w:rPr>
                <w:szCs w:val="21"/>
              </w:rPr>
            </w:pPr>
            <w:r>
              <w:rPr>
                <w:rFonts w:hint="eastAsia"/>
                <w:szCs w:val="21"/>
              </w:rPr>
              <w:t xml:space="preserve">by </w:t>
            </w:r>
            <w:r>
              <w:rPr>
                <w:szCs w:val="21"/>
              </w:rPr>
              <w:t>Chinese traditional tea culture</w:t>
            </w:r>
            <w:r>
              <w:rPr>
                <w:rFonts w:hint="eastAsia"/>
                <w:szCs w:val="21"/>
              </w:rPr>
              <w:t>, therefore having a touch of Chinese</w:t>
            </w:r>
            <w:r>
              <w:rPr>
                <w:szCs w:val="21"/>
              </w:rPr>
              <w:t xml:space="preserve"> culture.</w:t>
            </w:r>
          </w:p>
          <w:p>
            <w:pPr>
              <w:pStyle w:val="2"/>
              <w:numPr>
                <w:ilvl w:val="0"/>
                <w:numId w:val="1"/>
              </w:numPr>
              <w:rPr>
                <w:b/>
                <w:bCs/>
                <w:color w:val="000000"/>
                <w:szCs w:val="21"/>
              </w:rPr>
            </w:pPr>
            <w:r>
              <w:rPr>
                <w:b/>
                <w:bCs/>
                <w:color w:val="000000"/>
                <w:szCs w:val="21"/>
              </w:rPr>
              <w:t>Introduction of speakers</w:t>
            </w:r>
          </w:p>
          <w:p>
            <w:pPr>
              <w:pStyle w:val="2"/>
              <w:numPr>
                <w:ilvl w:val="0"/>
                <w:numId w:val="4"/>
              </w:numPr>
              <w:rPr>
                <w:color w:val="000000"/>
                <w:szCs w:val="21"/>
              </w:rPr>
            </w:pPr>
            <w:r>
              <w:rPr>
                <w:color w:val="000000"/>
                <w:szCs w:val="21"/>
              </w:rPr>
              <w:t>Liu Jiong: A senior partner of the Shanghai headquarters of AllBright Law Offices, an arbitrator and mediator of many domestic and foreign arbitration institutions, a member of ICC China Commission on Arbitration and ADR, and a senior member of the Chartered Institute of Arbitrators; engage in legal research in the economic field and economic law litigation research for a long time;</w:t>
            </w:r>
          </w:p>
          <w:p>
            <w:pPr>
              <w:pStyle w:val="2"/>
              <w:numPr>
                <w:ilvl w:val="0"/>
                <w:numId w:val="4"/>
              </w:numPr>
              <w:rPr>
                <w:color w:val="000000"/>
                <w:szCs w:val="21"/>
              </w:rPr>
            </w:pPr>
            <w:r>
              <w:rPr>
                <w:color w:val="000000"/>
                <w:szCs w:val="21"/>
              </w:rPr>
              <w:t>Li Jianwei: An associate professor at Shanghai University of Finance and Economics Law School, a doctor of business management, and a postdoctoral fellow in international financial law at Southern Methodist University in the United States. Have a lawyer’s license and securities practice qualification</w:t>
            </w:r>
            <w:r>
              <w:rPr>
                <w:rFonts w:hint="eastAsia"/>
                <w:color w:val="000000"/>
                <w:szCs w:val="21"/>
              </w:rPr>
              <w:t>.</w:t>
            </w:r>
            <w:r>
              <w:rPr>
                <w:color w:val="000000"/>
                <w:szCs w:val="21"/>
              </w:rPr>
              <w:t xml:space="preserve"> A member of China Law Society and a member of Shanghai Commercial Enterprise Management Association; have many years of experience in enterprise management, capital operation, economic law and financial law. Presided over six national, provincial and ministerial-level projects and won many national, provincial and ministerial-level awards such as the first prize of China Postdoctoral Science Foundation;</w:t>
            </w:r>
          </w:p>
          <w:p>
            <w:pPr>
              <w:pStyle w:val="2"/>
              <w:numPr>
                <w:ilvl w:val="0"/>
                <w:numId w:val="4"/>
              </w:numPr>
              <w:rPr>
                <w:color w:val="000000"/>
                <w:szCs w:val="21"/>
              </w:rPr>
            </w:pPr>
            <w:r>
              <w:rPr>
                <w:color w:val="000000"/>
                <w:szCs w:val="21"/>
              </w:rPr>
              <w:t xml:space="preserve">Chen Jianxun: Director of the Innovation Economy Research Office of the Department Economic Research Institute of the Shanghai Academy of Social Sciences and Deputy Secretary General of the Shanghai Branch of the </w:t>
            </w:r>
            <w:r>
              <w:rPr>
                <w:rFonts w:hint="eastAsia"/>
                <w:color w:val="000000"/>
                <w:szCs w:val="21"/>
              </w:rPr>
              <w:t>China Center for International</w:t>
            </w:r>
            <w:r>
              <w:rPr>
                <w:color w:val="000000"/>
                <w:szCs w:val="21"/>
              </w:rPr>
              <w:t xml:space="preserve"> Economic </w:t>
            </w:r>
            <w:r>
              <w:rPr>
                <w:rFonts w:hint="eastAsia"/>
                <w:color w:val="000000"/>
                <w:szCs w:val="21"/>
              </w:rPr>
              <w:t>Exchanges</w:t>
            </w:r>
            <w:r>
              <w:rPr>
                <w:color w:val="000000"/>
                <w:szCs w:val="21"/>
              </w:rPr>
              <w:t>; engage in empirical research on industrial planning for a long time, focus on tracking the industrial development in the Pan-Yangtze River Delta region, and provide a large number of research reports and industrial planning reports for all parts of the Pan-Yangtze River Delta region;</w:t>
            </w:r>
          </w:p>
          <w:p>
            <w:pPr>
              <w:pStyle w:val="2"/>
              <w:numPr>
                <w:ilvl w:val="0"/>
                <w:numId w:val="4"/>
              </w:numPr>
              <w:rPr>
                <w:color w:val="000000"/>
                <w:kern w:val="0"/>
                <w:szCs w:val="21"/>
              </w:rPr>
            </w:pPr>
            <w:r>
              <w:rPr>
                <w:color w:val="000000"/>
                <w:szCs w:val="21"/>
              </w:rPr>
              <w:t xml:space="preserve">Hu Lanlan: A senior lawyer with AllBright Law Offices. Has worked in Shanghai’s procuratorial system for 8 years and was selected as the first 10 prosecutors of the “50 Sino-French Prosecutors” of the French Ministry of Justice-Supreme People’s Procuratorate; rotate in Tribunal de Grande Instance, procuratorate and law firm in Paris. A member of the Arbitration Committee of International Chamber of Commerce </w:t>
            </w:r>
            <w:r>
              <w:rPr>
                <w:rFonts w:hint="eastAsia"/>
                <w:color w:val="000000"/>
                <w:szCs w:val="21"/>
              </w:rPr>
              <w:t xml:space="preserve">(ICC) </w:t>
            </w:r>
            <w:r>
              <w:rPr>
                <w:color w:val="000000"/>
                <w:szCs w:val="21"/>
              </w:rPr>
              <w:t>and a member of the Anti-Corruption Expert Group. Specialize in foreign dispute resolution, corporate compliance risk control and foreign investment.</w:t>
            </w:r>
          </w:p>
          <w:p>
            <w:pPr>
              <w:pStyle w:val="2"/>
              <w:numPr>
                <w:ilvl w:val="0"/>
                <w:numId w:val="4"/>
              </w:numPr>
              <w:rPr>
                <w:color w:val="000000"/>
                <w:kern w:val="0"/>
                <w:szCs w:val="21"/>
              </w:rPr>
            </w:pPr>
            <w:r>
              <w:rPr>
                <w:color w:val="000000"/>
                <w:szCs w:val="21"/>
              </w:rPr>
              <w:t xml:space="preserve">Peng Minzhi: </w:t>
            </w:r>
            <w:r>
              <w:rPr>
                <w:rFonts w:hint="eastAsia"/>
                <w:color w:val="000000"/>
                <w:szCs w:val="21"/>
              </w:rPr>
              <w:t>Director</w:t>
            </w:r>
            <w:r>
              <w:rPr>
                <w:color w:val="000000"/>
                <w:szCs w:val="21"/>
              </w:rPr>
              <w:t xml:space="preserve"> of the Human Resources Management Committee of the China Management Science Society, a visiting scholar of Peking University, a professional member of the Standardization Administration</w:t>
            </w:r>
            <w:r>
              <w:rPr>
                <w:rFonts w:hint="eastAsia"/>
                <w:color w:val="000000"/>
                <w:szCs w:val="21"/>
              </w:rPr>
              <w:t xml:space="preserve"> </w:t>
            </w:r>
            <w:r>
              <w:rPr>
                <w:color w:val="000000"/>
                <w:szCs w:val="21"/>
              </w:rPr>
              <w:t>of the People's Republic of China, a visiting professor and doctoral supervisor of Singapore Management University, and a master’s supervisor of School of Management and Economics of Beijing Institute of Technology; has in-depth research on the development of Chinese enterprises and the industrial chain.</w:t>
            </w:r>
          </w:p>
          <w:p>
            <w:pPr>
              <w:pStyle w:val="2"/>
              <w:numPr>
                <w:ilvl w:val="0"/>
                <w:numId w:val="1"/>
              </w:numPr>
              <w:rPr>
                <w:b/>
                <w:bCs w:val="0"/>
                <w:color w:val="000000"/>
                <w:kern w:val="0"/>
                <w:szCs w:val="21"/>
              </w:rPr>
            </w:pPr>
            <w:r>
              <w:rPr>
                <w:b/>
                <w:bCs w:val="0"/>
                <w:color w:val="000000"/>
                <w:szCs w:val="21"/>
              </w:rPr>
              <w:t>Materials to be prepared</w:t>
            </w:r>
          </w:p>
          <w:p>
            <w:pPr>
              <w:pStyle w:val="2"/>
              <w:ind w:firstLine="420" w:firstLineChars="200"/>
              <w:rPr>
                <w:color w:val="000000"/>
                <w:kern w:val="0"/>
                <w:szCs w:val="21"/>
              </w:rPr>
            </w:pPr>
            <w:r>
              <w:rPr>
                <w:color w:val="000000"/>
                <w:szCs w:val="21"/>
              </w:rPr>
              <w:t xml:space="preserve">To facilitate exchanges with Chinese experts, please prepare relevant discussion materials of your country related to the subject, such as: 1) </w:t>
            </w:r>
            <w:r>
              <w:rPr>
                <w:kern w:val="0"/>
                <w:szCs w:val="21"/>
              </w:rPr>
              <w:t>development status and existing problems in the field of high-tech development (how to incubate and cultivate industries)</w:t>
            </w:r>
            <w:r>
              <w:rPr>
                <w:szCs w:val="21"/>
              </w:rPr>
              <w:t xml:space="preserve">; </w:t>
            </w:r>
            <w:r>
              <w:rPr>
                <w:color w:val="000000"/>
                <w:szCs w:val="21"/>
              </w:rPr>
              <w:t>2) cooperation basis with China, etc.</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535" w:type="dxa"/>
            <w:vAlign w:val="center"/>
          </w:tcPr>
          <w:p>
            <w:pPr>
              <w:jc w:val="center"/>
              <w:rPr>
                <w:bCs/>
                <w:color w:val="000000"/>
                <w:szCs w:val="21"/>
              </w:rPr>
            </w:pPr>
            <w:r>
              <w:rPr>
                <w:bCs/>
                <w:color w:val="000000"/>
                <w:szCs w:val="21"/>
              </w:rPr>
              <w:t>Venue</w:t>
            </w:r>
          </w:p>
        </w:tc>
        <w:tc>
          <w:tcPr>
            <w:tcW w:w="2740" w:type="dxa"/>
            <w:gridSpan w:val="2"/>
            <w:vAlign w:val="center"/>
          </w:tcPr>
          <w:p>
            <w:pPr>
              <w:ind w:left="-420" w:leftChars="-200"/>
              <w:jc w:val="center"/>
              <w:rPr>
                <w:bCs/>
                <w:color w:val="000000"/>
                <w:szCs w:val="21"/>
                <w:lang w:val="fr-CA"/>
              </w:rPr>
            </w:pPr>
            <w:r>
              <w:rPr>
                <w:bCs/>
                <w:color w:val="000000"/>
                <w:szCs w:val="21"/>
                <w:lang w:val="fr-CA"/>
              </w:rPr>
              <w:t>Shanghai</w:t>
            </w:r>
          </w:p>
        </w:tc>
        <w:tc>
          <w:tcPr>
            <w:tcW w:w="2740" w:type="dxa"/>
            <w:gridSpan w:val="3"/>
            <w:vAlign w:val="center"/>
          </w:tcPr>
          <w:p>
            <w:pPr>
              <w:ind w:left="-420" w:leftChars="-200"/>
              <w:jc w:val="center"/>
              <w:rPr>
                <w:bCs/>
                <w:color w:val="000000"/>
                <w:szCs w:val="21"/>
                <w:lang w:val="fr-CA"/>
              </w:rPr>
            </w:pPr>
            <w:r>
              <w:rPr>
                <w:bCs/>
                <w:color w:val="000000"/>
                <w:szCs w:val="21"/>
                <w:lang w:val="fr-CA"/>
              </w:rPr>
              <w:t>Cloud visit city</w:t>
            </w:r>
          </w:p>
        </w:tc>
        <w:tc>
          <w:tcPr>
            <w:tcW w:w="2741" w:type="dxa"/>
            <w:vAlign w:val="center"/>
          </w:tcPr>
          <w:p>
            <w:pPr>
              <w:ind w:left="-420" w:leftChars="-200"/>
              <w:jc w:val="center"/>
              <w:rPr>
                <w:bCs/>
                <w:color w:val="000000"/>
                <w:szCs w:val="21"/>
                <w:lang w:val="fr-CA"/>
              </w:rPr>
            </w:pPr>
            <w:r>
              <w:rPr>
                <w:bCs/>
                <w:color w:val="000000"/>
                <w:szCs w:val="21"/>
                <w:lang w:val="fr-CA"/>
              </w:rPr>
              <w:t>Shanghai</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535" w:type="dxa"/>
            <w:vAlign w:val="center"/>
          </w:tcPr>
          <w:p>
            <w:pPr>
              <w:jc w:val="center"/>
              <w:rPr>
                <w:bCs/>
                <w:color w:val="000000"/>
                <w:szCs w:val="21"/>
              </w:rPr>
            </w:pPr>
            <w:r>
              <w:rPr>
                <w:bCs/>
                <w:color w:val="000000"/>
                <w:szCs w:val="21"/>
              </w:rPr>
              <w:t>Remarks</w:t>
            </w:r>
          </w:p>
        </w:tc>
        <w:tc>
          <w:tcPr>
            <w:tcW w:w="8221" w:type="dxa"/>
            <w:gridSpan w:val="6"/>
            <w:vAlign w:val="center"/>
          </w:tcPr>
          <w:p>
            <w:pPr>
              <w:numPr>
                <w:ilvl w:val="0"/>
                <w:numId w:val="5"/>
              </w:numPr>
              <w:ind w:left="420" w:hanging="420" w:hangingChars="200"/>
              <w:rPr>
                <w:bCs/>
                <w:color w:val="000000"/>
                <w:szCs w:val="21"/>
                <w:lang w:val="fr-CA"/>
              </w:rPr>
            </w:pPr>
            <w:r>
              <w:rPr>
                <w:bCs/>
                <w:color w:val="000000"/>
                <w:szCs w:val="21"/>
                <w:lang w:val="fr-CA"/>
              </w:rPr>
              <w:t xml:space="preserve">This training is conducted online via the platform ZOOM. </w:t>
            </w:r>
          </w:p>
          <w:p>
            <w:pPr>
              <w:numPr>
                <w:ilvl w:val="0"/>
                <w:numId w:val="5"/>
              </w:numPr>
              <w:ind w:left="420" w:hanging="420" w:hangingChars="200"/>
              <w:rPr>
                <w:bCs/>
                <w:color w:val="000000"/>
                <w:szCs w:val="21"/>
                <w:lang w:val="fr-CA"/>
              </w:rPr>
            </w:pPr>
            <w:r>
              <w:rPr>
                <w:bCs/>
                <w:color w:val="000000"/>
                <w:szCs w:val="21"/>
                <w:lang w:val="fr-CA"/>
              </w:rPr>
              <w:t>During the training, please follow the class schedule and discipline. The training</w:t>
            </w:r>
            <w:r>
              <w:rPr>
                <w:rFonts w:hint="eastAsia"/>
                <w:bCs/>
                <w:color w:val="000000"/>
                <w:szCs w:val="21"/>
              </w:rPr>
              <w:t xml:space="preserve"> </w:t>
            </w:r>
            <w:r>
              <w:rPr>
                <w:bCs/>
                <w:color w:val="000000"/>
                <w:szCs w:val="21"/>
                <w:lang w:val="fr-CA"/>
              </w:rPr>
              <w:t>certificates will be awarded on the basis of attendance records.</w:t>
            </w:r>
          </w:p>
          <w:p>
            <w:pPr>
              <w:numPr>
                <w:ilvl w:val="0"/>
                <w:numId w:val="5"/>
              </w:numPr>
              <w:ind w:left="420" w:hanging="420" w:hangingChars="200"/>
              <w:rPr>
                <w:bCs/>
                <w:color w:val="000000"/>
                <w:szCs w:val="21"/>
                <w:lang w:val="fr-CA"/>
              </w:rPr>
            </w:pPr>
            <w:r>
              <w:rPr>
                <w:bCs/>
                <w:color w:val="000000"/>
                <w:szCs w:val="21"/>
                <w:lang w:val="fr-CA"/>
              </w:rPr>
              <w:t xml:space="preserve">Preparation before class: enter the ZOOM classroom 15 minutes in advance and change the name to the form: name in English – country name. </w:t>
            </w:r>
          </w:p>
          <w:p>
            <w:pPr>
              <w:numPr>
                <w:ilvl w:val="0"/>
                <w:numId w:val="5"/>
              </w:numPr>
              <w:ind w:left="420" w:hanging="420" w:hangingChars="200"/>
              <w:rPr>
                <w:bCs/>
                <w:color w:val="000000"/>
                <w:szCs w:val="21"/>
              </w:rPr>
            </w:pPr>
            <w:r>
              <w:rPr>
                <w:bCs/>
                <w:color w:val="000000"/>
                <w:szCs w:val="21"/>
              </w:rPr>
              <w:t>Disciplinary requirement: during project implementation, please follow strictly the project agenda.</w:t>
            </w:r>
          </w:p>
          <w:p>
            <w:pPr>
              <w:numPr>
                <w:ilvl w:val="0"/>
                <w:numId w:val="5"/>
              </w:numPr>
              <w:ind w:left="420" w:hanging="420" w:hangingChars="200"/>
              <w:rPr>
                <w:bCs/>
                <w:color w:val="000000"/>
                <w:szCs w:val="21"/>
              </w:rPr>
            </w:pPr>
            <w:r>
              <w:rPr>
                <w:bCs/>
                <w:color w:val="000000"/>
                <w:szCs w:val="21"/>
              </w:rPr>
              <w:t>Participants need to prepare discussion materials relevant to the subject according to the schedule.</w:t>
            </w:r>
          </w:p>
          <w:p>
            <w:pPr>
              <w:numPr>
                <w:ilvl w:val="0"/>
                <w:numId w:val="5"/>
              </w:numPr>
              <w:ind w:left="420" w:hanging="420" w:hangingChars="200"/>
              <w:rPr>
                <w:bCs/>
                <w:color w:val="000000"/>
                <w:szCs w:val="21"/>
                <w:lang w:val="fr-CA"/>
              </w:rPr>
            </w:pPr>
            <w:r>
              <w:rPr>
                <w:bCs/>
                <w:color w:val="000000"/>
                <w:szCs w:val="21"/>
              </w:rPr>
              <w:t>Online English consecutive interpretation are provided.</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582" w:hRule="atLeast"/>
          <w:jc w:val="center"/>
        </w:trPr>
        <w:tc>
          <w:tcPr>
            <w:tcW w:w="1535" w:type="dxa"/>
            <w:vAlign w:val="center"/>
          </w:tcPr>
          <w:p>
            <w:pPr>
              <w:jc w:val="center"/>
              <w:rPr>
                <w:bCs/>
                <w:color w:val="000000"/>
                <w:szCs w:val="21"/>
              </w:rPr>
            </w:pPr>
            <w:r>
              <w:rPr>
                <w:bCs/>
                <w:color w:val="000000"/>
                <w:szCs w:val="21"/>
              </w:rPr>
              <w:t>Introduction of organizer</w:t>
            </w:r>
          </w:p>
        </w:tc>
        <w:tc>
          <w:tcPr>
            <w:tcW w:w="8221" w:type="dxa"/>
            <w:gridSpan w:val="6"/>
          </w:tcPr>
          <w:p>
            <w:pPr>
              <w:ind w:firstLine="420" w:firstLineChars="200"/>
            </w:pPr>
            <w:r>
              <w:rPr>
                <w:szCs w:val="21"/>
              </w:rPr>
              <w:t>Shanghai Business School (SBS), covering an area of nearly 400 mu with three campuses, namely Xuhui, Fengxian and Yangpu, is an undergraduate college under the direct auspices of Shanghai Municipal Government. SBS involves 7 discipline fields and offers 30 undergraduate programs. At present, SBS boasts a faculty body of more than 700 full-time instructors, among whom 88% have Master or PhD degrees. Shanghai Business School is equipped with modern infrastructure and smart campuses with international advanced level.</w:t>
            </w:r>
          </w:p>
          <w:p>
            <w:pPr>
              <w:ind w:firstLine="420" w:firstLineChars="200"/>
              <w:rPr>
                <w:szCs w:val="21"/>
              </w:rPr>
            </w:pPr>
            <w:r>
              <w:rPr>
                <w:szCs w:val="21"/>
              </w:rPr>
              <w:t>In 2010, Shanghai Education and Training Center of Commerce (referred to as Center) was authorized by the Chinese Ministry of Commerce as one of the training bases for international business officials. In 2016, the Center was merged into SBS. SBS focuses on “Reinforcing Internal Management and Strengthening Brand Building” to promote the capacity building of foreign aid training, continuously strengthen internal standardized management, improve management system construction, extend the service chain of training, emphasize people-oriented service, and elaborately create the “Alma Mater” atmosphere for participants from all over the world. With the mission of “Spreading Friendship, Strengthening Training, Emphasizing Effectiveness”, SBS has been insisting on its working philosophy: Demand-oriented, Innovation-powered, Service-based, Quality-centered, focusing on training objectives and demand of the recipient countries and fully relying on geographical advantages and resources of Shanghai to dedicate itself into one with international influence.</w:t>
            </w:r>
          </w:p>
          <w:p>
            <w:pPr>
              <w:ind w:firstLine="420" w:firstLineChars="200"/>
            </w:pPr>
            <w:r>
              <w:rPr>
                <w:szCs w:val="21"/>
              </w:rPr>
              <w:t>By the end of 2020, Shanghai Business School has successfully held 168 seminars (including 6 ministerial programs) for international business officials, training 4671 officials (including 30 ministerial officials) from 137 countries and regional organizations in 6 continents, which has brought out excellent training effects and has been highly appreciated by all the participants.</w:t>
            </w:r>
          </w:p>
          <w:p>
            <w:pPr>
              <w:spacing w:line="340" w:lineRule="exact"/>
              <w:ind w:firstLine="420" w:firstLineChars="200"/>
              <w:rPr>
                <w:color w:val="000000"/>
                <w:szCs w:val="21"/>
              </w:rPr>
            </w:pPr>
            <w:r>
              <w:rPr>
                <w:rFonts w:hint="eastAsia"/>
                <w:szCs w:val="21"/>
              </w:rPr>
              <w:t xml:space="preserve">Shanghai Business </w:t>
            </w:r>
            <w:r>
              <w:rPr>
                <w:szCs w:val="21"/>
              </w:rPr>
              <w:t xml:space="preserve">School </w:t>
            </w:r>
            <w:r>
              <w:rPr>
                <w:color w:val="000000"/>
                <w:szCs w:val="21"/>
              </w:rPr>
              <w:t xml:space="preserve">successfully </w:t>
            </w:r>
            <w:r>
              <w:rPr>
                <w:szCs w:val="21"/>
              </w:rPr>
              <w:t xml:space="preserve">held Seminar for State-Owned Enterprise Executives of Developing Countries in 2019, Seminar on China-Belarus State-owned Enterprise Bankruptcy Reorganization Policy and Implementation in 2016, Seminar on State-owned Enterprise Reform Experience Exchange for Belarus in 2017, and Seminar on State-owned Enterprise Reform for Afghanistan in 2015, with outstanding training effect and remarkable spillover effect, which was </w:t>
            </w:r>
            <w:r>
              <w:rPr>
                <w:rFonts w:hint="eastAsia"/>
                <w:szCs w:val="21"/>
              </w:rPr>
              <w:t>highly praised</w:t>
            </w:r>
            <w:r>
              <w:rPr>
                <w:szCs w:val="21"/>
              </w:rPr>
              <w:t xml:space="preserve"> by the</w:t>
            </w:r>
            <w:r>
              <w:rPr>
                <w:rFonts w:hint="eastAsia"/>
                <w:szCs w:val="21"/>
              </w:rPr>
              <w:t xml:space="preserve"> participants</w:t>
            </w:r>
            <w:r>
              <w:rPr>
                <w:szCs w:val="21"/>
              </w:rPr>
              <w:t xml:space="preserve">. </w:t>
            </w:r>
            <w:r>
              <w:rPr>
                <w:color w:val="000000"/>
                <w:szCs w:val="21"/>
              </w:rPr>
              <w:t xml:space="preserve">Meanwhile, </w:t>
            </w:r>
            <w:r>
              <w:rPr>
                <w:rFonts w:hint="eastAsia"/>
                <w:szCs w:val="21"/>
              </w:rPr>
              <w:t xml:space="preserve">Shanghai Business </w:t>
            </w:r>
            <w:r>
              <w:rPr>
                <w:szCs w:val="21"/>
              </w:rPr>
              <w:t>School</w:t>
            </w:r>
            <w:r>
              <w:rPr>
                <w:color w:val="000000"/>
                <w:szCs w:val="21"/>
              </w:rPr>
              <w:t xml:space="preserve"> has accumulated a great deal of teaching and </w:t>
            </w:r>
            <w:r>
              <w:rPr>
                <w:rFonts w:hint="eastAsia"/>
                <w:color w:val="000000"/>
                <w:szCs w:val="21"/>
              </w:rPr>
              <w:t>visiting</w:t>
            </w:r>
            <w:r>
              <w:rPr>
                <w:color w:val="000000"/>
                <w:szCs w:val="21"/>
              </w:rPr>
              <w:t xml:space="preserve"> resources in the field of state-owned enterprise management and reform, providing a solid guarantee for the success of seminars.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629" w:hRule="atLeast"/>
          <w:jc w:val="center"/>
        </w:trPr>
        <w:tc>
          <w:tcPr>
            <w:tcW w:w="1535" w:type="dxa"/>
            <w:vAlign w:val="center"/>
          </w:tcPr>
          <w:p>
            <w:pPr>
              <w:jc w:val="center"/>
              <w:rPr>
                <w:bCs/>
                <w:color w:val="000000"/>
                <w:szCs w:val="21"/>
              </w:rPr>
            </w:pPr>
            <w:r>
              <w:rPr>
                <w:bCs/>
                <w:color w:val="000000"/>
                <w:szCs w:val="21"/>
              </w:rPr>
              <w:t>Contact of the Organizer</w:t>
            </w:r>
          </w:p>
        </w:tc>
        <w:tc>
          <w:tcPr>
            <w:tcW w:w="8221" w:type="dxa"/>
            <w:gridSpan w:val="6"/>
          </w:tcPr>
          <w:p>
            <w:pPr>
              <w:pStyle w:val="2"/>
              <w:rPr>
                <w:bCs/>
                <w:color w:val="000000"/>
                <w:szCs w:val="21"/>
              </w:rPr>
            </w:pPr>
            <w:r>
              <w:rPr>
                <w:bCs/>
                <w:color w:val="000000"/>
                <w:szCs w:val="21"/>
              </w:rPr>
              <w:t>Contact person: Ms. C</w:t>
            </w:r>
            <w:r>
              <w:rPr>
                <w:rFonts w:hint="eastAsia"/>
                <w:bCs/>
                <w:color w:val="000000"/>
                <w:szCs w:val="21"/>
              </w:rPr>
              <w:t>HEN</w:t>
            </w:r>
            <w:r>
              <w:rPr>
                <w:bCs/>
                <w:color w:val="000000"/>
                <w:szCs w:val="21"/>
              </w:rPr>
              <w:t xml:space="preserve"> Xiaoye (Jutta)</w:t>
            </w:r>
          </w:p>
          <w:p>
            <w:pPr>
              <w:jc w:val="left"/>
              <w:rPr>
                <w:bCs/>
                <w:color w:val="000000"/>
                <w:szCs w:val="21"/>
              </w:rPr>
            </w:pPr>
            <w:r>
              <w:rPr>
                <w:bCs/>
                <w:color w:val="000000"/>
                <w:szCs w:val="21"/>
              </w:rPr>
              <w:t>Office Tel: 0086-21-54591721</w:t>
            </w:r>
          </w:p>
          <w:p>
            <w:pPr>
              <w:jc w:val="left"/>
              <w:rPr>
                <w:bCs/>
                <w:color w:val="000000"/>
                <w:szCs w:val="21"/>
              </w:rPr>
            </w:pPr>
            <w:r>
              <w:rPr>
                <w:bCs/>
                <w:color w:val="000000"/>
                <w:szCs w:val="21"/>
              </w:rPr>
              <w:t>Mobile: 0086-13661696230</w:t>
            </w:r>
          </w:p>
          <w:p>
            <w:pPr>
              <w:jc w:val="left"/>
              <w:rPr>
                <w:bCs/>
                <w:color w:val="000000"/>
                <w:szCs w:val="21"/>
                <w:lang w:val="fr-CA"/>
              </w:rPr>
            </w:pPr>
            <w:r>
              <w:rPr>
                <w:bCs/>
                <w:color w:val="000000"/>
                <w:szCs w:val="21"/>
              </w:rPr>
              <w:t>Fax: 0086-21-54591721</w:t>
            </w:r>
          </w:p>
          <w:p>
            <w:pPr>
              <w:jc w:val="left"/>
              <w:rPr>
                <w:bCs/>
                <w:color w:val="000000"/>
                <w:szCs w:val="21"/>
                <w:lang w:val="fr-CA"/>
              </w:rPr>
            </w:pPr>
            <w:r>
              <w:rPr>
                <w:bCs/>
                <w:color w:val="000000"/>
                <w:szCs w:val="21"/>
                <w:lang w:val="fr-CA"/>
              </w:rPr>
              <w:t>E-mail: shyanxiujidi@126.com</w:t>
            </w:r>
          </w:p>
        </w:tc>
      </w:tr>
    </w:tbl>
    <w:p>
      <w:pPr>
        <w:spacing w:before="100" w:beforeAutospacing="1" w:after="100" w:afterAutospacing="1" w:line="420" w:lineRule="exact"/>
        <w:rPr>
          <w:b/>
          <w:bCs/>
          <w:color w:val="FF0000"/>
          <w:szCs w:val="21"/>
          <w:lang w:val="fr-CA"/>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57E9F6"/>
    <w:multiLevelType w:val="singleLevel"/>
    <w:tmpl w:val="8757E9F6"/>
    <w:lvl w:ilvl="0" w:tentative="0">
      <w:start w:val="1"/>
      <w:numFmt w:val="decimal"/>
      <w:lvlText w:val="(%1)"/>
      <w:lvlJc w:val="left"/>
      <w:pPr>
        <w:ind w:left="425" w:hanging="425"/>
      </w:pPr>
      <w:rPr>
        <w:rFonts w:hint="default"/>
      </w:rPr>
    </w:lvl>
  </w:abstractNum>
  <w:abstractNum w:abstractNumId="1">
    <w:nsid w:val="0B512432"/>
    <w:multiLevelType w:val="singleLevel"/>
    <w:tmpl w:val="0B512432"/>
    <w:lvl w:ilvl="0" w:tentative="0">
      <w:start w:val="1"/>
      <w:numFmt w:val="decimal"/>
      <w:lvlText w:val="%1."/>
      <w:lvlJc w:val="left"/>
      <w:pPr>
        <w:tabs>
          <w:tab w:val="left" w:pos="312"/>
        </w:tabs>
      </w:pPr>
    </w:lvl>
  </w:abstractNum>
  <w:abstractNum w:abstractNumId="2">
    <w:nsid w:val="0BA802C0"/>
    <w:multiLevelType w:val="singleLevel"/>
    <w:tmpl w:val="0BA802C0"/>
    <w:lvl w:ilvl="0" w:tentative="0">
      <w:start w:val="1"/>
      <w:numFmt w:val="decimal"/>
      <w:lvlText w:val="(%1)"/>
      <w:lvlJc w:val="left"/>
      <w:pPr>
        <w:ind w:left="425" w:hanging="425"/>
      </w:pPr>
      <w:rPr>
        <w:rFonts w:hint="default"/>
      </w:rPr>
    </w:lvl>
  </w:abstractNum>
  <w:abstractNum w:abstractNumId="3">
    <w:nsid w:val="3D7C10CE"/>
    <w:multiLevelType w:val="singleLevel"/>
    <w:tmpl w:val="3D7C10CE"/>
    <w:lvl w:ilvl="0" w:tentative="0">
      <w:start w:val="1"/>
      <w:numFmt w:val="decimal"/>
      <w:lvlText w:val="(%1)"/>
      <w:lvlJc w:val="left"/>
      <w:pPr>
        <w:ind w:left="425" w:hanging="425"/>
      </w:pPr>
      <w:rPr>
        <w:rFonts w:hint="default"/>
      </w:rPr>
    </w:lvl>
  </w:abstractNum>
  <w:abstractNum w:abstractNumId="4">
    <w:nsid w:val="62F658C5"/>
    <w:multiLevelType w:val="singleLevel"/>
    <w:tmpl w:val="62F658C5"/>
    <w:lvl w:ilvl="0" w:tentative="0">
      <w:start w:val="1"/>
      <w:numFmt w:val="decimal"/>
      <w:lvlText w:val="%1."/>
      <w:lvlJc w:val="left"/>
      <w:pPr>
        <w:tabs>
          <w:tab w:val="left" w:pos="312"/>
        </w:tabs>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A5070B"/>
    <w:rsid w:val="003E1613"/>
    <w:rsid w:val="006471DC"/>
    <w:rsid w:val="009C7798"/>
    <w:rsid w:val="00CC4337"/>
    <w:rsid w:val="13A5070B"/>
    <w:rsid w:val="757E5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annotation text"/>
    <w:basedOn w:val="1"/>
    <w:unhideWhenUsed/>
    <w:uiPriority w:val="99"/>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1611</Words>
  <Characters>9188</Characters>
  <Lines>76</Lines>
  <Paragraphs>21</Paragraphs>
  <TotalTime>60</TotalTime>
  <ScaleCrop>false</ScaleCrop>
  <LinksUpToDate>false</LinksUpToDate>
  <CharactersWithSpaces>10778</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2021-03-25T07:33:00Z</dcterms:created>
  <dc:creator>sunya</dc:creator>
  <cp:lastModifiedBy>蒋雅如</cp:lastModifiedBy>
  <cp:lastPrinted>2021-03-26T07:17:37Z</cp:lastPrinted>
  <dcterms:modified xsi:type="dcterms:W3CDTF">2021-03-26T07:18:27Z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9EB7F980E3984644ABA295DB2A9826FB</vt:lpwstr>
  </property>
</Properties>
</file>